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B5C2" w14:textId="77777777" w:rsidR="004D4912" w:rsidRDefault="004D4912" w:rsidP="004D4912"/>
    <w:p w14:paraId="71FC9E7A" w14:textId="77777777" w:rsidR="004D4912" w:rsidRDefault="004D4912" w:rsidP="004D4912">
      <w:pPr>
        <w:jc w:val="center"/>
        <w:rPr>
          <w:rFonts w:ascii="Bookman Old Style" w:hAnsi="Bookman Old Style" w:cstheme="majorBidi"/>
          <w:b/>
          <w:bCs/>
          <w:sz w:val="28"/>
          <w:szCs w:val="28"/>
        </w:rPr>
      </w:pPr>
      <w:r>
        <w:rPr>
          <w:rFonts w:ascii="Bookman Old Style" w:hAnsi="Bookman Old Style" w:cstheme="majorBidi"/>
          <w:b/>
          <w:bCs/>
          <w:sz w:val="28"/>
          <w:szCs w:val="28"/>
        </w:rPr>
        <w:t>DIE WEIBLICHE SEITE GOTTES</w:t>
      </w:r>
    </w:p>
    <w:p w14:paraId="0358A7B5" w14:textId="77777777" w:rsidR="004D4912" w:rsidRDefault="004D4912" w:rsidP="004D4912">
      <w:pPr>
        <w:jc w:val="center"/>
        <w:rPr>
          <w:rFonts w:ascii="Bookman Old Style" w:hAnsi="Bookman Old Style" w:cstheme="majorBidi"/>
          <w:b/>
          <w:bCs/>
          <w:sz w:val="28"/>
          <w:szCs w:val="28"/>
        </w:rPr>
      </w:pPr>
      <w:r>
        <w:rPr>
          <w:rFonts w:ascii="Bookman Old Style" w:hAnsi="Bookman Old Style" w:cstheme="majorBidi"/>
          <w:b/>
          <w:bCs/>
          <w:sz w:val="28"/>
          <w:szCs w:val="28"/>
        </w:rPr>
        <w:t xml:space="preserve">– Einblicke in die Mystik des </w:t>
      </w:r>
      <w:proofErr w:type="spellStart"/>
      <w:r>
        <w:rPr>
          <w:rFonts w:ascii="Bookman Old Style" w:hAnsi="Bookman Old Style" w:cstheme="majorBidi"/>
          <w:b/>
          <w:bCs/>
          <w:sz w:val="28"/>
          <w:szCs w:val="28"/>
        </w:rPr>
        <w:t>Zohar</w:t>
      </w:r>
      <w:proofErr w:type="spellEnd"/>
    </w:p>
    <w:p w14:paraId="7B26881E" w14:textId="77777777" w:rsidR="004D4912" w:rsidRDefault="004D4912" w:rsidP="004D4912">
      <w:pPr>
        <w:rPr>
          <w:rFonts w:ascii="Bookman Old Style" w:hAnsi="Bookman Old Style" w:cstheme="majorBidi"/>
          <w:b/>
          <w:bCs/>
          <w:sz w:val="28"/>
          <w:szCs w:val="28"/>
        </w:rPr>
      </w:pPr>
    </w:p>
    <w:p w14:paraId="1040DE0A" w14:textId="77777777" w:rsidR="004D4912" w:rsidRPr="004D4912" w:rsidRDefault="004D4912" w:rsidP="004D4912">
      <w:pPr>
        <w:rPr>
          <w:rFonts w:ascii="Bookman Old Style" w:hAnsi="Bookman Old Style" w:cstheme="majorBidi"/>
          <w:b/>
          <w:bCs/>
          <w:sz w:val="28"/>
          <w:szCs w:val="28"/>
        </w:rPr>
      </w:pPr>
      <w:r w:rsidRPr="004D4912">
        <w:rPr>
          <w:rFonts w:ascii="Bookman Old Style" w:hAnsi="Bookman Old Style" w:cstheme="majorBidi"/>
          <w:b/>
          <w:bCs/>
          <w:sz w:val="28"/>
          <w:szCs w:val="28"/>
        </w:rPr>
        <w:t>Männlich und weiblich (</w:t>
      </w:r>
      <w:proofErr w:type="spellStart"/>
      <w:r w:rsidRPr="004D4912">
        <w:rPr>
          <w:rFonts w:ascii="Bookman Old Style" w:hAnsi="Bookman Old Style" w:cstheme="majorBidi"/>
          <w:b/>
          <w:bCs/>
          <w:sz w:val="28"/>
          <w:szCs w:val="28"/>
        </w:rPr>
        <w:t>Zohar</w:t>
      </w:r>
      <w:proofErr w:type="spellEnd"/>
      <w:r w:rsidRPr="004D4912">
        <w:rPr>
          <w:rFonts w:ascii="Bookman Old Style" w:hAnsi="Bookman Old Style" w:cstheme="majorBidi"/>
          <w:b/>
          <w:bCs/>
          <w:sz w:val="28"/>
          <w:szCs w:val="28"/>
        </w:rPr>
        <w:t xml:space="preserve"> 1,55b)</w:t>
      </w:r>
    </w:p>
    <w:p w14:paraId="2392D1EB" w14:textId="77777777" w:rsidR="004D4912" w:rsidRDefault="004D4912" w:rsidP="004D4912">
      <w:pPr>
        <w:rPr>
          <w:rFonts w:ascii="Bookman Old Style" w:hAnsi="Bookman Old Style" w:cstheme="majorBidi"/>
          <w:sz w:val="24"/>
          <w:szCs w:val="24"/>
        </w:rPr>
      </w:pPr>
    </w:p>
    <w:p w14:paraId="2CD11F86" w14:textId="77777777" w:rsidR="0032157E" w:rsidRDefault="004D4912" w:rsidP="004D4912">
      <w:pPr>
        <w:rPr>
          <w:rFonts w:ascii="Bookman Old Style" w:hAnsi="Bookman Old Style" w:cstheme="majorBidi"/>
          <w:sz w:val="24"/>
          <w:szCs w:val="24"/>
        </w:rPr>
      </w:pPr>
      <w:r w:rsidRPr="004D4912">
        <w:rPr>
          <w:rFonts w:ascii="Bookman Old Style" w:hAnsi="Bookman Old Style" w:cstheme="majorBidi"/>
          <w:sz w:val="24"/>
          <w:szCs w:val="24"/>
        </w:rPr>
        <w:t xml:space="preserve"> ‹Dies ist das Buch der Gen</w:t>
      </w:r>
      <w:bookmarkStart w:id="0" w:name="_GoBack"/>
      <w:bookmarkEnd w:id="0"/>
      <w:r w:rsidRPr="004D4912">
        <w:rPr>
          <w:rFonts w:ascii="Bookman Old Style" w:hAnsi="Bookman Old Style" w:cstheme="majorBidi"/>
          <w:sz w:val="24"/>
          <w:szCs w:val="24"/>
        </w:rPr>
        <w:t xml:space="preserve">erationen des Menschen. Am Tag, als Gott den Menschen erschuf, schuf Er ihn in Seinem Bild; männlich und weiblich erschuf Er sie. Er segnete sie und nannte ihren Namen Adam am Tag, da sie erschaffen </w:t>
      </w:r>
      <w:proofErr w:type="gramStart"/>
      <w:r w:rsidRPr="004D4912">
        <w:rPr>
          <w:rFonts w:ascii="Bookman Old Style" w:hAnsi="Bookman Old Style" w:cstheme="majorBidi"/>
          <w:sz w:val="24"/>
          <w:szCs w:val="24"/>
        </w:rPr>
        <w:t>wurden.›</w:t>
      </w:r>
      <w:proofErr w:type="gramEnd"/>
      <w:r w:rsidRPr="004D4912">
        <w:rPr>
          <w:rFonts w:ascii="Bookman Old Style" w:hAnsi="Bookman Old Style" w:cstheme="majorBidi"/>
          <w:sz w:val="24"/>
          <w:szCs w:val="24"/>
        </w:rPr>
        <w:t xml:space="preserve"> Gen 5,1.2 </w:t>
      </w:r>
    </w:p>
    <w:p w14:paraId="528BE542" w14:textId="31DE00CA" w:rsidR="004D4912" w:rsidRPr="004D4912" w:rsidRDefault="004D4912" w:rsidP="004D4912">
      <w:pPr>
        <w:rPr>
          <w:rFonts w:ascii="Bookman Old Style" w:hAnsi="Bookman Old Style" w:cstheme="majorBidi"/>
          <w:sz w:val="24"/>
          <w:szCs w:val="24"/>
        </w:rPr>
      </w:pPr>
      <w:r w:rsidRPr="004D4912">
        <w:rPr>
          <w:rFonts w:ascii="Bookman Old Style" w:hAnsi="Bookman Old Style" w:cstheme="majorBidi"/>
          <w:sz w:val="24"/>
          <w:szCs w:val="24"/>
        </w:rPr>
        <w:t xml:space="preserve">Rabbi </w:t>
      </w:r>
      <w:proofErr w:type="spellStart"/>
      <w:r w:rsidRPr="004D4912">
        <w:rPr>
          <w:rFonts w:ascii="Bookman Old Style" w:hAnsi="Bookman Old Style" w:cstheme="majorBidi"/>
          <w:sz w:val="24"/>
          <w:szCs w:val="24"/>
        </w:rPr>
        <w:t>Shim’on</w:t>
      </w:r>
      <w:proofErr w:type="spellEnd"/>
      <w:r w:rsidRPr="004D4912">
        <w:rPr>
          <w:rFonts w:ascii="Bookman Old Style" w:hAnsi="Bookman Old Style" w:cstheme="majorBidi"/>
          <w:sz w:val="24"/>
          <w:szCs w:val="24"/>
        </w:rPr>
        <w:t xml:space="preserve"> (bar Yochai) sagte: «Tiefe Geheimnisse sind in diesen zwei Versen enthüllt. ‹männlich und weiblich erschuf Er sie›, um die Herrlichkeit oben bekannt zu machen, die Geheimnisse des Glaubens. Aus diesem Geheimnis heraus wurde der Mensch geschaffen.»</w:t>
      </w:r>
    </w:p>
    <w:p w14:paraId="5BE6FA5A" w14:textId="77777777" w:rsidR="004D4912" w:rsidRPr="004D4912" w:rsidRDefault="004D4912" w:rsidP="004D4912">
      <w:pPr>
        <w:rPr>
          <w:rFonts w:ascii="Bookman Old Style" w:hAnsi="Bookman Old Style" w:cstheme="majorBidi"/>
          <w:sz w:val="24"/>
          <w:szCs w:val="24"/>
        </w:rPr>
      </w:pPr>
      <w:r w:rsidRPr="004D4912">
        <w:rPr>
          <w:rFonts w:ascii="Bookman Old Style" w:hAnsi="Bookman Old Style" w:cstheme="majorBidi"/>
          <w:sz w:val="24"/>
          <w:szCs w:val="24"/>
        </w:rPr>
        <w:t>Komm und sieh: Mit dem gleichen Geheimnis, in dem Himmel und Erde geschaffen wurden, wurde der Mensch geschaffen. Bei jenen steht: ‹Dies sind die Generationen (</w:t>
      </w:r>
      <w:proofErr w:type="spellStart"/>
      <w:r w:rsidRPr="004D4912">
        <w:rPr>
          <w:rFonts w:ascii="Bookman Old Style" w:hAnsi="Bookman Old Style" w:cstheme="majorBidi"/>
          <w:sz w:val="24"/>
          <w:szCs w:val="24"/>
        </w:rPr>
        <w:t>toldoth</w:t>
      </w:r>
      <w:proofErr w:type="spellEnd"/>
      <w:r w:rsidRPr="004D4912">
        <w:rPr>
          <w:rFonts w:ascii="Bookman Old Style" w:hAnsi="Bookman Old Style" w:cstheme="majorBidi"/>
          <w:sz w:val="24"/>
          <w:szCs w:val="24"/>
        </w:rPr>
        <w:t>) von Himmel und Erde› (Gen 2.4), vom Menschen steht geschrieben: ‹Dies ist das Buch der Generationen (</w:t>
      </w:r>
      <w:proofErr w:type="spellStart"/>
      <w:r w:rsidRPr="004D4912">
        <w:rPr>
          <w:rFonts w:ascii="Bookman Old Style" w:hAnsi="Bookman Old Style" w:cstheme="majorBidi"/>
          <w:sz w:val="24"/>
          <w:szCs w:val="24"/>
        </w:rPr>
        <w:t>toldoth</w:t>
      </w:r>
      <w:proofErr w:type="spellEnd"/>
      <w:r w:rsidRPr="004D4912">
        <w:rPr>
          <w:rFonts w:ascii="Bookman Old Style" w:hAnsi="Bookman Old Style" w:cstheme="majorBidi"/>
          <w:sz w:val="24"/>
          <w:szCs w:val="24"/>
        </w:rPr>
        <w:t>) des Menschen›, von jenen steht ‹als sie geschaffen wurden›, vom Menschen ‹am Tag, da sie erschaffen wurden›.</w:t>
      </w:r>
    </w:p>
    <w:p w14:paraId="471F45AE" w14:textId="77777777" w:rsidR="004D4912" w:rsidRPr="004D4912" w:rsidRDefault="004D4912" w:rsidP="004D4912">
      <w:pPr>
        <w:rPr>
          <w:rFonts w:ascii="Bookman Old Style" w:hAnsi="Bookman Old Style" w:cstheme="majorBidi"/>
          <w:sz w:val="24"/>
          <w:szCs w:val="24"/>
        </w:rPr>
      </w:pPr>
      <w:r w:rsidRPr="004D4912">
        <w:rPr>
          <w:rFonts w:ascii="Bookman Old Style" w:hAnsi="Bookman Old Style" w:cstheme="majorBidi"/>
          <w:sz w:val="24"/>
          <w:szCs w:val="24"/>
        </w:rPr>
        <w:t>‹Männlich und weiblich erschuf Er sie›. Daraus lernen wir: jedes Bild, das nicht männlich und weiblich enthält, ist nicht ein hohes und echtes Bild.</w:t>
      </w:r>
    </w:p>
    <w:p w14:paraId="622FD3E7" w14:textId="77777777" w:rsidR="006070FC" w:rsidRPr="00374D6A" w:rsidRDefault="004D4912" w:rsidP="00374D6A">
      <w:pPr>
        <w:pStyle w:val="KeinLeerraum"/>
        <w:rPr>
          <w:rFonts w:ascii="Bookman Old Style" w:hAnsi="Bookman Old Style"/>
          <w:sz w:val="24"/>
          <w:szCs w:val="24"/>
        </w:rPr>
      </w:pPr>
      <w:r w:rsidRPr="00374D6A">
        <w:rPr>
          <w:rFonts w:ascii="Bookman Old Style" w:hAnsi="Bookman Old Style"/>
          <w:sz w:val="24"/>
          <w:szCs w:val="24"/>
        </w:rPr>
        <w:t xml:space="preserve">Komm und sieh: Der Heilige, gesegnet sei Er, legt Seine Wohnung an keinen Platz an dem nicht Männliches und Weibliches zusammen sind. Segen gibt es nur an einem Platz, wo Männliches und Weibliches vorhanden ist, wie es heisst: ‹Er segnete sie und nannte ihren Namen Adam an dem Tag, da sie erschaffen wurden›; es steht nicht ‹Er segnete ihn und nannte seinen Namen Adam›. </w:t>
      </w:r>
    </w:p>
    <w:p w14:paraId="15C10F23" w14:textId="2BF7F2F1" w:rsidR="00EB377F" w:rsidRPr="00374D6A" w:rsidRDefault="004D4912" w:rsidP="00374D6A">
      <w:pPr>
        <w:pStyle w:val="KeinLeerraum"/>
        <w:rPr>
          <w:rFonts w:ascii="Bookman Old Style" w:hAnsi="Bookman Old Style"/>
          <w:sz w:val="24"/>
          <w:szCs w:val="24"/>
        </w:rPr>
      </w:pPr>
      <w:r w:rsidRPr="00374D6A">
        <w:rPr>
          <w:rFonts w:ascii="Bookman Old Style" w:hAnsi="Bookman Old Style"/>
          <w:sz w:val="24"/>
          <w:szCs w:val="24"/>
        </w:rPr>
        <w:t>Ein menschliches Wesen ist erst dann Adam genannt, wenn Männlich und Weiblich wie eines sind.</w:t>
      </w:r>
    </w:p>
    <w:p w14:paraId="2A6E6CE9" w14:textId="77777777" w:rsidR="004D4912" w:rsidRPr="00374D6A" w:rsidRDefault="004D4912" w:rsidP="004D4912">
      <w:pPr>
        <w:rPr>
          <w:rFonts w:ascii="Bookman Old Style" w:hAnsi="Bookman Old Style" w:cstheme="majorBidi"/>
          <w:sz w:val="24"/>
          <w:szCs w:val="24"/>
        </w:rPr>
      </w:pPr>
    </w:p>
    <w:p w14:paraId="6954ED26" w14:textId="77777777" w:rsidR="004D4912" w:rsidRDefault="004D4912" w:rsidP="004D4912">
      <w:pPr>
        <w:rPr>
          <w:rFonts w:ascii="Bookman Old Style" w:hAnsi="Bookman Old Style" w:cstheme="majorBidi"/>
          <w:b/>
          <w:bCs/>
          <w:sz w:val="28"/>
          <w:szCs w:val="28"/>
        </w:rPr>
      </w:pPr>
      <w:r>
        <w:rPr>
          <w:rFonts w:ascii="Bookman Old Style" w:hAnsi="Bookman Old Style" w:cstheme="majorBidi"/>
          <w:b/>
          <w:bCs/>
          <w:sz w:val="28"/>
          <w:szCs w:val="28"/>
        </w:rPr>
        <w:t>Dozentin: Dr. Meret Gutmann-Grün</w:t>
      </w:r>
    </w:p>
    <w:p w14:paraId="7A1AC815" w14:textId="77777777" w:rsidR="004D4912" w:rsidRDefault="004D4912" w:rsidP="004D4912">
      <w:pPr>
        <w:rPr>
          <w:rFonts w:ascii="Bookman Old Style" w:hAnsi="Bookman Old Style" w:cstheme="majorBidi"/>
          <w:b/>
          <w:bCs/>
          <w:sz w:val="28"/>
          <w:szCs w:val="28"/>
        </w:rPr>
      </w:pPr>
      <w:r>
        <w:rPr>
          <w:rFonts w:ascii="Bookman Old Style" w:hAnsi="Bookman Old Style" w:cstheme="majorBidi"/>
          <w:b/>
          <w:bCs/>
          <w:sz w:val="28"/>
          <w:szCs w:val="28"/>
        </w:rPr>
        <w:t>6 Montagabende, ab 28.10.2019, Universitätsbibliothek Basel</w:t>
      </w:r>
    </w:p>
    <w:p w14:paraId="707AC271" w14:textId="77777777" w:rsidR="004D4912" w:rsidRDefault="004D4912" w:rsidP="004D4912">
      <w:pPr>
        <w:rPr>
          <w:rFonts w:ascii="Bookman Old Style" w:hAnsi="Bookman Old Style" w:cstheme="majorBidi"/>
        </w:rPr>
      </w:pPr>
    </w:p>
    <w:p w14:paraId="308249C9" w14:textId="77777777" w:rsidR="004D4912" w:rsidRPr="004D4912" w:rsidRDefault="004D4912" w:rsidP="004D4912">
      <w:pPr>
        <w:rPr>
          <w:rFonts w:ascii="Bookman Old Style" w:hAnsi="Bookman Old Style" w:cstheme="majorBidi"/>
        </w:rPr>
      </w:pPr>
    </w:p>
    <w:sectPr w:rsidR="004D4912" w:rsidRPr="004D491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29A1" w14:textId="77777777" w:rsidR="00913119" w:rsidRDefault="00913119" w:rsidP="004D4912">
      <w:pPr>
        <w:spacing w:after="0" w:line="240" w:lineRule="auto"/>
      </w:pPr>
      <w:r>
        <w:separator/>
      </w:r>
    </w:p>
  </w:endnote>
  <w:endnote w:type="continuationSeparator" w:id="0">
    <w:p w14:paraId="1A0CFA40" w14:textId="77777777" w:rsidR="00913119" w:rsidRDefault="00913119" w:rsidP="004D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41AA" w14:textId="77777777" w:rsidR="00913119" w:rsidRDefault="00913119" w:rsidP="004D4912">
      <w:pPr>
        <w:spacing w:after="0" w:line="240" w:lineRule="auto"/>
      </w:pPr>
      <w:r>
        <w:separator/>
      </w:r>
    </w:p>
  </w:footnote>
  <w:footnote w:type="continuationSeparator" w:id="0">
    <w:p w14:paraId="788C0D50" w14:textId="77777777" w:rsidR="00913119" w:rsidRDefault="00913119" w:rsidP="004D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BF89" w14:textId="77777777" w:rsidR="004D4912" w:rsidRDefault="004D4912">
    <w:pPr>
      <w:pStyle w:val="Kopfzeile"/>
    </w:pPr>
    <w:r>
      <w:rPr>
        <w:noProof/>
      </w:rPr>
      <w:drawing>
        <wp:inline distT="0" distB="0" distL="0" distR="0" wp14:anchorId="4EBC06AB" wp14:editId="1E58AA36">
          <wp:extent cx="1512660" cy="1095375"/>
          <wp:effectExtent l="0" t="0" r="0" b="0"/>
          <wp:docPr id="2" name="Bild 2" descr="2018-08-17_Logo_f_Webseite_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8-17_Logo_f_Webseite_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133" cy="11000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12"/>
    <w:rsid w:val="000D1A4B"/>
    <w:rsid w:val="0032157E"/>
    <w:rsid w:val="00374D6A"/>
    <w:rsid w:val="004D4912"/>
    <w:rsid w:val="006070FC"/>
    <w:rsid w:val="006E29EB"/>
    <w:rsid w:val="00913119"/>
    <w:rsid w:val="00EB377F"/>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73BE"/>
  <w15:chartTrackingRefBased/>
  <w15:docId w15:val="{39C73649-D810-4604-BE91-0CA2A6B3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49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912"/>
  </w:style>
  <w:style w:type="paragraph" w:styleId="Fuzeile">
    <w:name w:val="footer"/>
    <w:basedOn w:val="Standard"/>
    <w:link w:val="FuzeileZchn"/>
    <w:uiPriority w:val="99"/>
    <w:unhideWhenUsed/>
    <w:rsid w:val="004D49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912"/>
  </w:style>
  <w:style w:type="paragraph" w:styleId="KeinLeerraum">
    <w:name w:val="No Spacing"/>
    <w:uiPriority w:val="1"/>
    <w:qFormat/>
    <w:rsid w:val="00374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Barth</dc:creator>
  <cp:keywords/>
  <dc:description/>
  <cp:lastModifiedBy>s.e. Barth</cp:lastModifiedBy>
  <cp:revision>6</cp:revision>
  <dcterms:created xsi:type="dcterms:W3CDTF">2019-09-20T06:35:00Z</dcterms:created>
  <dcterms:modified xsi:type="dcterms:W3CDTF">2019-09-20T06:47:00Z</dcterms:modified>
</cp:coreProperties>
</file>